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3C" w:rsidRDefault="008D05E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5283C" w:rsidRDefault="008D05E7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95283C" w:rsidRDefault="008D05E7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Самарская область готовится к «гаражной амнистии»</w:t>
      </w:r>
    </w:p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</w:t>
      </w:r>
      <w:r>
        <w:rPr>
          <w:rFonts w:ascii="Segoe UI" w:hAnsi="Segoe UI" w:cs="Segoe UI"/>
          <w:sz w:val="24"/>
          <w:szCs w:val="24"/>
        </w:rPr>
        <w:t xml:space="preserve">ополняющие федеральное законодательство. </w:t>
      </w:r>
    </w:p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Управления Росреестра по Самарской области совместно с юристами Самарской Губернской думы, областного правительства, мэрии Самары, администраций городов и районов, Ассоциации «Совет муниципальных обра</w:t>
      </w:r>
      <w:r>
        <w:rPr>
          <w:rFonts w:ascii="Segoe UI" w:hAnsi="Segoe UI" w:cs="Segoe UI"/>
          <w:sz w:val="24"/>
          <w:szCs w:val="24"/>
        </w:rPr>
        <w:t xml:space="preserve">зований Самарской области» проанализировали вопросы, эффективное решение которых возможно на региональном уровне. </w:t>
      </w:r>
    </w:p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сообщил: «</w:t>
      </w:r>
      <w:r>
        <w:rPr>
          <w:rFonts w:ascii="Segoe UI" w:hAnsi="Segoe UI" w:cs="Segoe UI"/>
          <w:i/>
          <w:sz w:val="24"/>
          <w:szCs w:val="24"/>
        </w:rPr>
        <w:t>Закон о «гаражной а</w:t>
      </w:r>
      <w:r>
        <w:rPr>
          <w:rFonts w:ascii="Segoe UI" w:hAnsi="Segoe UI" w:cs="Segoe UI"/>
          <w:i/>
          <w:sz w:val="24"/>
          <w:szCs w:val="24"/>
        </w:rPr>
        <w:t>мнистии»,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методические рекомендации к федеральному з</w:t>
      </w:r>
      <w:r>
        <w:rPr>
          <w:rFonts w:ascii="Segoe UI" w:hAnsi="Segoe UI" w:cs="Segoe UI"/>
          <w:i/>
          <w:sz w:val="24"/>
          <w:szCs w:val="24"/>
        </w:rPr>
        <w:t>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>
        <w:rPr>
          <w:rFonts w:ascii="Segoe UI" w:hAnsi="Segoe UI" w:cs="Segoe UI"/>
          <w:sz w:val="24"/>
          <w:szCs w:val="24"/>
        </w:rPr>
        <w:t xml:space="preserve">». </w:t>
      </w:r>
    </w:p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методичкой можно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методических рекомендациях подробно рассказывается, как восп</w:t>
      </w:r>
      <w:r>
        <w:rPr>
          <w:rFonts w:ascii="Segoe UI" w:hAnsi="Segoe UI" w:cs="Segoe UI"/>
          <w:sz w:val="24"/>
          <w:szCs w:val="24"/>
        </w:rPr>
        <w:t xml:space="preserve">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 w:rsidR="0095283C" w:rsidRDefault="008D05E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сокращения финансовой нагрузки на граждан законом предусматривается, что за г</w:t>
      </w:r>
      <w:r>
        <w:rPr>
          <w:rFonts w:ascii="Segoe UI" w:hAnsi="Segoe UI" w:cs="Segoe UI"/>
          <w:sz w:val="24"/>
          <w:szCs w:val="24"/>
        </w:rPr>
        <w:t>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</w:t>
      </w:r>
      <w:r>
        <w:rPr>
          <w:rFonts w:ascii="Segoe UI" w:hAnsi="Segoe UI" w:cs="Segoe UI"/>
          <w:sz w:val="24"/>
          <w:szCs w:val="24"/>
        </w:rPr>
        <w:t>ий она вручит владельцу выписки из Единого государственного реестра недвижимости, подтверждающие оформление прав на гараж и землю.</w:t>
      </w:r>
    </w:p>
    <w:p w:rsidR="0095283C" w:rsidRDefault="008D05E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5283C" w:rsidRDefault="008D05E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5283C" w:rsidRDefault="008D05E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5283C" w:rsidRDefault="008D05E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5283C" w:rsidRDefault="008D05E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</w:t>
      </w:r>
      <w:r>
        <w:rPr>
          <w:rFonts w:ascii="Segoe UI" w:hAnsi="Segoe UI" w:cs="Segoe UI"/>
          <w:sz w:val="24"/>
          <w:szCs w:val="24"/>
        </w:rPr>
        <w:t>v.ru/site/</w:t>
      </w:r>
    </w:p>
    <w:p w:rsidR="0095283C" w:rsidRDefault="008D05E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95283C" w:rsidRDefault="0095283C">
      <w:pPr>
        <w:spacing w:line="36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95283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C"/>
    <w:rsid w:val="008D05E7"/>
    <w:rsid w:val="009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7004-AF16-4A80-AD74-D2A42EA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dcterms:created xsi:type="dcterms:W3CDTF">2021-06-17T04:47:00Z</dcterms:created>
  <dcterms:modified xsi:type="dcterms:W3CDTF">2021-06-17T04:47:00Z</dcterms:modified>
</cp:coreProperties>
</file>